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B8" w:rsidRDefault="00F669B8" w:rsidP="00CB4D94">
      <w:pPr>
        <w:pStyle w:val="Default"/>
        <w:rPr>
          <w:b/>
          <w:bCs/>
          <w:sz w:val="20"/>
          <w:szCs w:val="20"/>
        </w:rPr>
      </w:pPr>
      <w:r>
        <w:t>20.02. metselwerken – prefab</w:t>
      </w:r>
    </w:p>
    <w:p w:rsidR="00F669B8" w:rsidRDefault="00F669B8" w:rsidP="00CB4D94">
      <w:pPr>
        <w:pStyle w:val="Default"/>
        <w:rPr>
          <w:b/>
          <w:bCs/>
          <w:sz w:val="20"/>
          <w:szCs w:val="20"/>
        </w:rPr>
      </w:pPr>
    </w:p>
    <w:p w:rsidR="00CB4D94" w:rsidRDefault="00CB4D94" w:rsidP="00CB4D94">
      <w:pPr>
        <w:pStyle w:val="Default"/>
        <w:rPr>
          <w:b/>
          <w:bCs/>
          <w:sz w:val="20"/>
          <w:szCs w:val="20"/>
        </w:rPr>
      </w:pPr>
      <w:r>
        <w:rPr>
          <w:b/>
          <w:bCs/>
          <w:sz w:val="20"/>
          <w:szCs w:val="20"/>
        </w:rPr>
        <w:t>Voorwerp</w:t>
      </w:r>
    </w:p>
    <w:p w:rsidR="00CB4D94" w:rsidRDefault="003871F2" w:rsidP="00CB4D94">
      <w:pPr>
        <w:pStyle w:val="Default"/>
        <w:rPr>
          <w:bCs/>
          <w:sz w:val="20"/>
          <w:szCs w:val="20"/>
        </w:rPr>
      </w:pPr>
      <w:r>
        <w:rPr>
          <w:bCs/>
          <w:sz w:val="20"/>
          <w:szCs w:val="20"/>
        </w:rPr>
        <w:t xml:space="preserve">De structuur in metselwerk wordt uitgevoerd met prefab-wandelementen. </w:t>
      </w:r>
      <w:r w:rsidR="00CB4D94">
        <w:rPr>
          <w:bCs/>
          <w:sz w:val="20"/>
          <w:szCs w:val="20"/>
        </w:rPr>
        <w:t xml:space="preserve">De prefab keramische wanden worden </w:t>
      </w:r>
      <w:r>
        <w:rPr>
          <w:bCs/>
          <w:sz w:val="20"/>
          <w:szCs w:val="20"/>
        </w:rPr>
        <w:t xml:space="preserve">vooraf fabrieksmatig </w:t>
      </w:r>
      <w:r w:rsidR="00CB4D94">
        <w:rPr>
          <w:bCs/>
          <w:sz w:val="20"/>
          <w:szCs w:val="20"/>
        </w:rPr>
        <w:t xml:space="preserve">in een volautomatisch proces </w:t>
      </w:r>
      <w:r>
        <w:rPr>
          <w:bCs/>
          <w:sz w:val="20"/>
          <w:szCs w:val="20"/>
        </w:rPr>
        <w:t>v</w:t>
      </w:r>
      <w:r w:rsidR="00CB4D94">
        <w:rPr>
          <w:bCs/>
          <w:sz w:val="20"/>
          <w:szCs w:val="20"/>
        </w:rPr>
        <w:t>ervaardigd. D</w:t>
      </w:r>
      <w:r>
        <w:rPr>
          <w:bCs/>
          <w:sz w:val="20"/>
          <w:szCs w:val="20"/>
        </w:rPr>
        <w:t>oor</w:t>
      </w:r>
      <w:r w:rsidR="00CB4D94">
        <w:rPr>
          <w:bCs/>
          <w:sz w:val="20"/>
          <w:szCs w:val="20"/>
        </w:rPr>
        <w:t xml:space="preserve"> lijmblokken op</w:t>
      </w:r>
      <w:r w:rsidR="00F669B8">
        <w:rPr>
          <w:bCs/>
          <w:sz w:val="20"/>
          <w:szCs w:val="20"/>
        </w:rPr>
        <w:t xml:space="preserve"> </w:t>
      </w:r>
      <w:r w:rsidR="00CB4D94">
        <w:rPr>
          <w:bCs/>
          <w:sz w:val="20"/>
          <w:szCs w:val="20"/>
        </w:rPr>
        <w:t xml:space="preserve">elkaar </w:t>
      </w:r>
      <w:r>
        <w:rPr>
          <w:bCs/>
          <w:sz w:val="20"/>
          <w:szCs w:val="20"/>
        </w:rPr>
        <w:t>te verlijmen</w:t>
      </w:r>
      <w:r w:rsidR="00CB4D94">
        <w:rPr>
          <w:bCs/>
          <w:sz w:val="20"/>
          <w:szCs w:val="20"/>
        </w:rPr>
        <w:t xml:space="preserve"> met een </w:t>
      </w:r>
      <w:proofErr w:type="spellStart"/>
      <w:r w:rsidR="00CB4D94">
        <w:rPr>
          <w:bCs/>
          <w:sz w:val="20"/>
          <w:szCs w:val="20"/>
        </w:rPr>
        <w:t>hoogprestatie</w:t>
      </w:r>
      <w:proofErr w:type="spellEnd"/>
      <w:r w:rsidR="00CB4D94">
        <w:rPr>
          <w:bCs/>
          <w:sz w:val="20"/>
          <w:szCs w:val="20"/>
        </w:rPr>
        <w:t>-cementgebonden lijmmortel. (enkel in die hoedanigheid is de brandweerstand verzekerd). De wanden worden in halfsteensverband opgebouwd en achteraf bijgesneden of op maat gesneden met een CNC dubbele waterjet. Dit zorgt voor een unieke maatvastheid.</w:t>
      </w:r>
    </w:p>
    <w:p w:rsidR="00CB4D94" w:rsidRDefault="00CB4D94" w:rsidP="00CB4D94">
      <w:pPr>
        <w:pStyle w:val="Default"/>
        <w:rPr>
          <w:bCs/>
          <w:sz w:val="20"/>
          <w:szCs w:val="20"/>
        </w:rPr>
      </w:pPr>
      <w:r>
        <w:rPr>
          <w:bCs/>
          <w:sz w:val="20"/>
          <w:szCs w:val="20"/>
        </w:rPr>
        <w:t xml:space="preserve">Wanden zijn voorzien van een geïntegreerd hijssysteem, kleine wanden en penanten worden verstevigd met een </w:t>
      </w:r>
      <w:proofErr w:type="spellStart"/>
      <w:r>
        <w:rPr>
          <w:bCs/>
          <w:sz w:val="20"/>
          <w:szCs w:val="20"/>
        </w:rPr>
        <w:t>opgestorte</w:t>
      </w:r>
      <w:proofErr w:type="spellEnd"/>
      <w:r>
        <w:rPr>
          <w:bCs/>
          <w:sz w:val="20"/>
          <w:szCs w:val="20"/>
        </w:rPr>
        <w:t xml:space="preserve"> wapeningsstaaf, die zorgt voor een transport en montage versterking.</w:t>
      </w:r>
    </w:p>
    <w:p w:rsidR="000F0CB6" w:rsidRPr="00E64BF0" w:rsidRDefault="00F669B8" w:rsidP="000F0CB6">
      <w:pPr>
        <w:pStyle w:val="Default"/>
        <w:rPr>
          <w:lang w:val="nl-NL"/>
        </w:rPr>
      </w:pPr>
      <w:r>
        <w:rPr>
          <w:bCs/>
          <w:sz w:val="20"/>
          <w:szCs w:val="20"/>
        </w:rPr>
        <w:t>Het prefab systeem beschikt over een algemen</w:t>
      </w:r>
      <w:r w:rsidR="00D97E2C">
        <w:rPr>
          <w:bCs/>
          <w:sz w:val="20"/>
          <w:szCs w:val="20"/>
        </w:rPr>
        <w:t xml:space="preserve">e technische goedkeuring </w:t>
      </w:r>
      <w:r w:rsidR="003871F2">
        <w:rPr>
          <w:bCs/>
          <w:sz w:val="20"/>
          <w:szCs w:val="20"/>
        </w:rPr>
        <w:t>/</w:t>
      </w:r>
      <w:r w:rsidR="00D97E2C">
        <w:rPr>
          <w:bCs/>
          <w:sz w:val="20"/>
          <w:szCs w:val="20"/>
        </w:rPr>
        <w:t xml:space="preserve"> ATG keurmerk. Waarbij een extern certificatie organisme de kwaliteit bewaakt.</w:t>
      </w:r>
      <w:r w:rsidR="000F0CB6">
        <w:rPr>
          <w:bCs/>
          <w:sz w:val="20"/>
          <w:szCs w:val="20"/>
        </w:rPr>
        <w:t xml:space="preserve"> Volgende normen zijn ook van toepassing: PTV 23-003: baksteken voor niet decoratief metselwerk en </w:t>
      </w:r>
      <w:proofErr w:type="spellStart"/>
      <w:r w:rsidR="000F0CB6">
        <w:rPr>
          <w:bCs/>
          <w:sz w:val="20"/>
          <w:szCs w:val="20"/>
        </w:rPr>
        <w:t>EN</w:t>
      </w:r>
      <w:proofErr w:type="spellEnd"/>
      <w:r w:rsidR="000F0CB6">
        <w:rPr>
          <w:bCs/>
          <w:sz w:val="20"/>
          <w:szCs w:val="20"/>
        </w:rPr>
        <w:t xml:space="preserve"> 771-1 Specificaties voor metselwerk.</w:t>
      </w:r>
    </w:p>
    <w:p w:rsidR="000F0CB6" w:rsidRDefault="000F0CB6" w:rsidP="00CB4D94">
      <w:pPr>
        <w:pStyle w:val="Default"/>
        <w:rPr>
          <w:b/>
          <w:bCs/>
          <w:sz w:val="20"/>
          <w:szCs w:val="20"/>
        </w:rPr>
      </w:pPr>
    </w:p>
    <w:p w:rsidR="00CB4D94" w:rsidRDefault="00CB4D94" w:rsidP="00CB4D94">
      <w:pPr>
        <w:pStyle w:val="Default"/>
        <w:rPr>
          <w:b/>
          <w:bCs/>
          <w:sz w:val="20"/>
          <w:szCs w:val="20"/>
        </w:rPr>
      </w:pPr>
    </w:p>
    <w:p w:rsidR="00CB4D94" w:rsidRDefault="00CB4D94" w:rsidP="00CB4D94">
      <w:pPr>
        <w:pStyle w:val="Default"/>
        <w:rPr>
          <w:sz w:val="20"/>
          <w:szCs w:val="20"/>
        </w:rPr>
      </w:pPr>
      <w:r>
        <w:rPr>
          <w:b/>
          <w:bCs/>
          <w:sz w:val="20"/>
          <w:szCs w:val="20"/>
        </w:rPr>
        <w:t xml:space="preserve">Toepassingen </w:t>
      </w:r>
    </w:p>
    <w:p w:rsidR="00CB4D94" w:rsidRDefault="00CB4D94" w:rsidP="00CB4D94">
      <w:pPr>
        <w:pStyle w:val="Default"/>
        <w:rPr>
          <w:sz w:val="20"/>
          <w:szCs w:val="20"/>
        </w:rPr>
      </w:pPr>
      <w:r>
        <w:rPr>
          <w:sz w:val="20"/>
          <w:szCs w:val="20"/>
        </w:rPr>
        <w:t>De geprefabriceerde kerami</w:t>
      </w:r>
      <w:r w:rsidR="00F669B8">
        <w:rPr>
          <w:sz w:val="20"/>
          <w:szCs w:val="20"/>
        </w:rPr>
        <w:t xml:space="preserve">sche wandelementen </w:t>
      </w:r>
      <w:r>
        <w:rPr>
          <w:sz w:val="20"/>
          <w:szCs w:val="20"/>
        </w:rPr>
        <w:t xml:space="preserve">zijn bestemd om te worden toegepast in : </w:t>
      </w:r>
    </w:p>
    <w:p w:rsidR="00CB4D94" w:rsidRDefault="00CB4D94" w:rsidP="00CB4D94">
      <w:pPr>
        <w:pStyle w:val="Default"/>
        <w:spacing w:after="58"/>
        <w:rPr>
          <w:sz w:val="20"/>
          <w:szCs w:val="20"/>
        </w:rPr>
      </w:pPr>
      <w:r>
        <w:rPr>
          <w:sz w:val="20"/>
          <w:szCs w:val="20"/>
        </w:rPr>
        <w:t xml:space="preserve"> Dragende en niet-dragende binnen- en buitenmuren </w:t>
      </w:r>
    </w:p>
    <w:p w:rsidR="00CB4D94" w:rsidRDefault="00CB4D94" w:rsidP="00CB4D94">
      <w:pPr>
        <w:pStyle w:val="Default"/>
        <w:spacing w:after="58"/>
        <w:rPr>
          <w:sz w:val="20"/>
          <w:szCs w:val="20"/>
        </w:rPr>
      </w:pPr>
      <w:r>
        <w:rPr>
          <w:sz w:val="20"/>
          <w:szCs w:val="20"/>
        </w:rPr>
        <w:t xml:space="preserve"> </w:t>
      </w:r>
      <w:proofErr w:type="spellStart"/>
      <w:r>
        <w:rPr>
          <w:sz w:val="20"/>
          <w:szCs w:val="20"/>
        </w:rPr>
        <w:t>Binnenspouwbladen</w:t>
      </w:r>
      <w:proofErr w:type="spellEnd"/>
      <w:r>
        <w:rPr>
          <w:sz w:val="20"/>
          <w:szCs w:val="20"/>
        </w:rPr>
        <w:t xml:space="preserve"> van de buitenmuren </w:t>
      </w:r>
    </w:p>
    <w:p w:rsidR="00CB4D94" w:rsidRDefault="00CB4D94" w:rsidP="00CB4D94">
      <w:pPr>
        <w:pStyle w:val="Default"/>
        <w:spacing w:after="58"/>
        <w:rPr>
          <w:sz w:val="20"/>
          <w:szCs w:val="20"/>
        </w:rPr>
      </w:pPr>
      <w:r>
        <w:rPr>
          <w:sz w:val="20"/>
          <w:szCs w:val="20"/>
        </w:rPr>
        <w:t xml:space="preserve"> </w:t>
      </w:r>
      <w:proofErr w:type="spellStart"/>
      <w:r>
        <w:rPr>
          <w:sz w:val="20"/>
          <w:szCs w:val="20"/>
        </w:rPr>
        <w:t>Woningscheidende</w:t>
      </w:r>
      <w:proofErr w:type="spellEnd"/>
      <w:r>
        <w:rPr>
          <w:sz w:val="20"/>
          <w:szCs w:val="20"/>
        </w:rPr>
        <w:t xml:space="preserve"> wanden van bouwwerken </w:t>
      </w:r>
    </w:p>
    <w:p w:rsidR="00CB4D94" w:rsidRDefault="00CB4D94" w:rsidP="00CB4D94">
      <w:pPr>
        <w:pStyle w:val="Default"/>
        <w:rPr>
          <w:sz w:val="20"/>
          <w:szCs w:val="20"/>
        </w:rPr>
      </w:pPr>
      <w:r>
        <w:rPr>
          <w:sz w:val="20"/>
          <w:szCs w:val="20"/>
        </w:rPr>
        <w:t xml:space="preserve"> </w:t>
      </w:r>
      <w:proofErr w:type="spellStart"/>
      <w:r>
        <w:rPr>
          <w:sz w:val="20"/>
          <w:szCs w:val="20"/>
        </w:rPr>
        <w:t>Enkelschalige</w:t>
      </w:r>
      <w:proofErr w:type="spellEnd"/>
      <w:r>
        <w:rPr>
          <w:sz w:val="20"/>
          <w:szCs w:val="20"/>
        </w:rPr>
        <w:t xml:space="preserve"> buitenwanden </w:t>
      </w:r>
      <w:r w:rsidR="000B799A">
        <w:rPr>
          <w:sz w:val="20"/>
          <w:szCs w:val="20"/>
        </w:rPr>
        <w:t>(onder bepaalde omstandigheden)</w:t>
      </w:r>
    </w:p>
    <w:p w:rsidR="00CB4D94" w:rsidRDefault="00CB4D94" w:rsidP="00CB4D94">
      <w:pPr>
        <w:pStyle w:val="Default"/>
        <w:rPr>
          <w:sz w:val="20"/>
          <w:szCs w:val="20"/>
        </w:rPr>
      </w:pPr>
    </w:p>
    <w:p w:rsidR="00CB4D94" w:rsidRDefault="00CB4D94" w:rsidP="00CB4D94">
      <w:pPr>
        <w:pStyle w:val="Default"/>
        <w:rPr>
          <w:sz w:val="20"/>
          <w:szCs w:val="20"/>
        </w:rPr>
      </w:pPr>
    </w:p>
    <w:p w:rsidR="00CB4D94" w:rsidRDefault="00CB4D94" w:rsidP="00CB4D94">
      <w:pPr>
        <w:pStyle w:val="Default"/>
        <w:rPr>
          <w:sz w:val="20"/>
          <w:szCs w:val="20"/>
        </w:rPr>
      </w:pPr>
    </w:p>
    <w:p w:rsidR="00CB4D94" w:rsidRDefault="003871F2" w:rsidP="00CB4D94">
      <w:pPr>
        <w:pStyle w:val="Default"/>
        <w:rPr>
          <w:b/>
          <w:bCs/>
          <w:sz w:val="20"/>
          <w:szCs w:val="20"/>
        </w:rPr>
      </w:pPr>
      <w:r>
        <w:rPr>
          <w:b/>
          <w:bCs/>
          <w:sz w:val="20"/>
          <w:szCs w:val="20"/>
        </w:rPr>
        <w:t xml:space="preserve">Uitvoering en </w:t>
      </w:r>
      <w:r w:rsidR="00CB4D94">
        <w:rPr>
          <w:b/>
          <w:bCs/>
          <w:sz w:val="20"/>
          <w:szCs w:val="20"/>
        </w:rPr>
        <w:t xml:space="preserve">Muurverbindingen </w:t>
      </w:r>
    </w:p>
    <w:p w:rsidR="003871F2" w:rsidRPr="003871F2" w:rsidRDefault="003871F2" w:rsidP="00CB4D94">
      <w:pPr>
        <w:pStyle w:val="Default"/>
        <w:rPr>
          <w:sz w:val="20"/>
          <w:szCs w:val="20"/>
        </w:rPr>
      </w:pPr>
      <w:r>
        <w:rPr>
          <w:bCs/>
          <w:sz w:val="20"/>
          <w:szCs w:val="20"/>
        </w:rPr>
        <w:t xml:space="preserve">De prefab wandelementen worden getransporteerd naar de werf en daar gemonteerd volgens </w:t>
      </w:r>
      <w:r w:rsidR="000F0CB6">
        <w:rPr>
          <w:bCs/>
          <w:sz w:val="20"/>
          <w:szCs w:val="20"/>
        </w:rPr>
        <w:t>de instructies van de fabrikant / ATG</w:t>
      </w:r>
    </w:p>
    <w:p w:rsidR="00CB4D94" w:rsidRDefault="00CB4D94" w:rsidP="00CB4D94">
      <w:pPr>
        <w:pStyle w:val="Default"/>
        <w:rPr>
          <w:sz w:val="20"/>
          <w:szCs w:val="20"/>
        </w:rPr>
      </w:pPr>
      <w:r>
        <w:rPr>
          <w:sz w:val="20"/>
          <w:szCs w:val="20"/>
        </w:rPr>
        <w:t>De verbinding</w:t>
      </w:r>
      <w:r w:rsidR="00DF5286">
        <w:rPr>
          <w:sz w:val="20"/>
          <w:szCs w:val="20"/>
        </w:rPr>
        <w:t>en</w:t>
      </w:r>
      <w:r>
        <w:rPr>
          <w:sz w:val="20"/>
          <w:szCs w:val="20"/>
        </w:rPr>
        <w:t xml:space="preserve"> tussen de verschillende wandelementen worden opgespoten met een </w:t>
      </w:r>
      <w:r w:rsidR="00DF5286">
        <w:rPr>
          <w:sz w:val="20"/>
          <w:szCs w:val="20"/>
        </w:rPr>
        <w:t>c</w:t>
      </w:r>
      <w:r>
        <w:rPr>
          <w:sz w:val="20"/>
          <w:szCs w:val="20"/>
        </w:rPr>
        <w:t>ementgebonden polymeer gemodificeerde lijmmortel . Deze lijmmortel is een fabrieksmatig vervaardigde droge lijmmortel, die voldoet aan een goedkeuring leidraad EN 998-2. De gebruikte lijmmortel heeft minstens ee</w:t>
      </w:r>
      <w:r w:rsidR="00D97E2C">
        <w:rPr>
          <w:sz w:val="20"/>
          <w:szCs w:val="20"/>
        </w:rPr>
        <w:t>n gemiddelde druksterkte van M</w:t>
      </w:r>
      <w:r w:rsidR="000B799A">
        <w:rPr>
          <w:sz w:val="20"/>
          <w:szCs w:val="20"/>
        </w:rPr>
        <w:t>15</w:t>
      </w:r>
      <w:r>
        <w:rPr>
          <w:sz w:val="20"/>
          <w:szCs w:val="20"/>
        </w:rPr>
        <w:t xml:space="preserve"> en een buigsterkte van &gt; 4,5 N en een hechtsterkte van 0,</w:t>
      </w:r>
      <w:r w:rsidR="000B799A">
        <w:rPr>
          <w:sz w:val="20"/>
          <w:szCs w:val="20"/>
        </w:rPr>
        <w:t>5</w:t>
      </w:r>
      <w:r>
        <w:rPr>
          <w:sz w:val="20"/>
          <w:szCs w:val="20"/>
        </w:rPr>
        <w:t xml:space="preserve"> N/mm² (na 28 dagen droogtijd) conform NBN-EN 998-2. </w:t>
      </w:r>
    </w:p>
    <w:p w:rsidR="00D97E2C" w:rsidRDefault="00CB4D94" w:rsidP="00CB4D94">
      <w:pPr>
        <w:pStyle w:val="Default"/>
        <w:rPr>
          <w:sz w:val="20"/>
          <w:szCs w:val="20"/>
        </w:rPr>
      </w:pPr>
      <w:r>
        <w:rPr>
          <w:sz w:val="20"/>
          <w:szCs w:val="20"/>
        </w:rPr>
        <w:t>De verschillende wandelementen dienen op een dergelijke wijze te worden</w:t>
      </w:r>
      <w:r w:rsidR="00D97E2C">
        <w:rPr>
          <w:sz w:val="20"/>
          <w:szCs w:val="20"/>
        </w:rPr>
        <w:t xml:space="preserve"> verbonden met deze lijmmortel</w:t>
      </w:r>
      <w:r w:rsidR="000F0CB6">
        <w:rPr>
          <w:sz w:val="20"/>
          <w:szCs w:val="20"/>
        </w:rPr>
        <w:t xml:space="preserve"> tot een consistent samenhangend geheel</w:t>
      </w:r>
      <w:r w:rsidR="00D97E2C">
        <w:rPr>
          <w:sz w:val="20"/>
          <w:szCs w:val="20"/>
        </w:rPr>
        <w:t>. Het ATG omvat ook de testen op de voegverbinding.</w:t>
      </w:r>
    </w:p>
    <w:p w:rsidR="00D97E2C" w:rsidRDefault="00D97E2C" w:rsidP="00CB4D94">
      <w:pPr>
        <w:pStyle w:val="Default"/>
        <w:rPr>
          <w:sz w:val="20"/>
          <w:szCs w:val="20"/>
        </w:rPr>
      </w:pPr>
    </w:p>
    <w:p w:rsidR="000F0CB6" w:rsidRDefault="000F0CB6" w:rsidP="00CB4D94">
      <w:pPr>
        <w:pStyle w:val="Default"/>
        <w:rPr>
          <w:sz w:val="20"/>
          <w:szCs w:val="20"/>
        </w:rPr>
      </w:pPr>
    </w:p>
    <w:p w:rsidR="00CB4D94" w:rsidRDefault="00CB4D94" w:rsidP="00CB4D94">
      <w:pPr>
        <w:pStyle w:val="Default"/>
        <w:rPr>
          <w:sz w:val="20"/>
          <w:szCs w:val="20"/>
        </w:rPr>
      </w:pPr>
      <w:r>
        <w:rPr>
          <w:b/>
          <w:bCs/>
          <w:sz w:val="20"/>
          <w:szCs w:val="20"/>
        </w:rPr>
        <w:t>Nominale muurdiktes</w:t>
      </w:r>
      <w:r w:rsidR="0056440F">
        <w:rPr>
          <w:b/>
          <w:bCs/>
          <w:sz w:val="20"/>
          <w:szCs w:val="20"/>
        </w:rPr>
        <w:t>,</w:t>
      </w:r>
      <w:r>
        <w:rPr>
          <w:b/>
          <w:bCs/>
          <w:sz w:val="20"/>
          <w:szCs w:val="20"/>
        </w:rPr>
        <w:t xml:space="preserve"> </w:t>
      </w:r>
      <w:r w:rsidR="0056440F">
        <w:rPr>
          <w:b/>
          <w:bCs/>
          <w:sz w:val="20"/>
          <w:szCs w:val="20"/>
        </w:rPr>
        <w:t>steen</w:t>
      </w:r>
      <w:r>
        <w:rPr>
          <w:b/>
          <w:bCs/>
          <w:sz w:val="20"/>
          <w:szCs w:val="20"/>
        </w:rPr>
        <w:t xml:space="preserve">type muren en afmetingen </w:t>
      </w:r>
    </w:p>
    <w:p w:rsidR="00CB4D94" w:rsidRDefault="00CB4D94" w:rsidP="00CB4D94">
      <w:pPr>
        <w:pStyle w:val="Default"/>
        <w:spacing w:after="63"/>
        <w:rPr>
          <w:sz w:val="20"/>
          <w:szCs w:val="20"/>
        </w:rPr>
      </w:pPr>
      <w:r>
        <w:rPr>
          <w:rFonts w:ascii="Times New Roman" w:hAnsi="Times New Roman" w:cs="Times New Roman"/>
          <w:sz w:val="20"/>
          <w:szCs w:val="20"/>
        </w:rPr>
        <w:t xml:space="preserve">- </w:t>
      </w:r>
      <w:r>
        <w:rPr>
          <w:sz w:val="20"/>
          <w:szCs w:val="20"/>
        </w:rPr>
        <w:t>De nominale muurdiktes kunnen afhankelijk zijn van het type steen en de gewenste druksterkte dit volgens aanduidingen op plan. Voorkomende dikte 10, 12, 14</w:t>
      </w:r>
      <w:r w:rsidR="0056440F">
        <w:rPr>
          <w:sz w:val="20"/>
          <w:szCs w:val="20"/>
        </w:rPr>
        <w:t>, 19</w:t>
      </w:r>
      <w:r>
        <w:rPr>
          <w:sz w:val="20"/>
          <w:szCs w:val="20"/>
        </w:rPr>
        <w:t xml:space="preserve"> en 20cm</w:t>
      </w:r>
    </w:p>
    <w:p w:rsidR="00CB4D94" w:rsidRDefault="00CB4D94" w:rsidP="00CB4D94">
      <w:pPr>
        <w:pStyle w:val="Default"/>
        <w:spacing w:after="63"/>
        <w:rPr>
          <w:sz w:val="20"/>
          <w:szCs w:val="20"/>
        </w:rPr>
      </w:pPr>
      <w:r>
        <w:rPr>
          <w:rFonts w:ascii="Times New Roman" w:hAnsi="Times New Roman" w:cs="Times New Roman"/>
          <w:sz w:val="20"/>
          <w:szCs w:val="20"/>
        </w:rPr>
        <w:t xml:space="preserve">- </w:t>
      </w:r>
      <w:r>
        <w:rPr>
          <w:sz w:val="20"/>
          <w:szCs w:val="20"/>
        </w:rPr>
        <w:t xml:space="preserve">Afmetingen van de wandelementen op voorstel van de aannemer: naargelang het ontwerp en de mogelijkheden op de werkvloer. </w:t>
      </w:r>
    </w:p>
    <w:tbl>
      <w:tblPr>
        <w:tblStyle w:val="Tabelraster"/>
        <w:tblW w:w="0" w:type="auto"/>
        <w:tblLook w:val="04A0" w:firstRow="1" w:lastRow="0" w:firstColumn="1" w:lastColumn="0" w:noHBand="0" w:noVBand="1"/>
      </w:tblPr>
      <w:tblGrid>
        <w:gridCol w:w="1874"/>
        <w:gridCol w:w="2267"/>
        <w:gridCol w:w="2423"/>
        <w:gridCol w:w="2498"/>
      </w:tblGrid>
      <w:tr w:rsidR="0056440F" w:rsidTr="0056440F">
        <w:tc>
          <w:tcPr>
            <w:tcW w:w="1874" w:type="dxa"/>
          </w:tcPr>
          <w:p w:rsidR="0056440F" w:rsidRDefault="0056440F" w:rsidP="00D97E2C">
            <w:pPr>
              <w:pStyle w:val="Default"/>
              <w:rPr>
                <w:b/>
                <w:bCs/>
                <w:sz w:val="20"/>
                <w:szCs w:val="20"/>
              </w:rPr>
            </w:pPr>
            <w:r>
              <w:rPr>
                <w:b/>
                <w:bCs/>
                <w:sz w:val="20"/>
                <w:szCs w:val="20"/>
              </w:rPr>
              <w:t>muurdiktes</w:t>
            </w:r>
          </w:p>
        </w:tc>
        <w:tc>
          <w:tcPr>
            <w:tcW w:w="2267" w:type="dxa"/>
          </w:tcPr>
          <w:p w:rsidR="0056440F" w:rsidRDefault="0056440F" w:rsidP="00D97E2C">
            <w:pPr>
              <w:pStyle w:val="Default"/>
              <w:rPr>
                <w:sz w:val="20"/>
                <w:szCs w:val="20"/>
              </w:rPr>
            </w:pPr>
            <w:r>
              <w:rPr>
                <w:b/>
                <w:bCs/>
                <w:sz w:val="20"/>
                <w:szCs w:val="20"/>
              </w:rPr>
              <w:t xml:space="preserve">Bruto droge </w:t>
            </w:r>
            <w:proofErr w:type="spellStart"/>
            <w:r>
              <w:rPr>
                <w:b/>
                <w:bCs/>
                <w:sz w:val="20"/>
                <w:szCs w:val="20"/>
              </w:rPr>
              <w:t>volumieke</w:t>
            </w:r>
            <w:proofErr w:type="spellEnd"/>
            <w:r>
              <w:rPr>
                <w:b/>
                <w:bCs/>
                <w:sz w:val="20"/>
                <w:szCs w:val="20"/>
              </w:rPr>
              <w:t xml:space="preserve"> massa </w:t>
            </w:r>
          </w:p>
          <w:p w:rsidR="0056440F" w:rsidRDefault="0056440F" w:rsidP="00D97E2C">
            <w:pPr>
              <w:pStyle w:val="Default"/>
              <w:spacing w:after="63"/>
              <w:rPr>
                <w:sz w:val="20"/>
                <w:szCs w:val="20"/>
              </w:rPr>
            </w:pPr>
            <w:r>
              <w:rPr>
                <w:b/>
                <w:bCs/>
                <w:sz w:val="20"/>
                <w:szCs w:val="20"/>
              </w:rPr>
              <w:t>[ kg/ m3]</w:t>
            </w:r>
          </w:p>
        </w:tc>
        <w:tc>
          <w:tcPr>
            <w:tcW w:w="2423" w:type="dxa"/>
          </w:tcPr>
          <w:p w:rsidR="0056440F" w:rsidRDefault="0056440F" w:rsidP="00D97E2C">
            <w:pPr>
              <w:pStyle w:val="Default"/>
              <w:spacing w:after="63"/>
              <w:rPr>
                <w:sz w:val="20"/>
                <w:szCs w:val="20"/>
              </w:rPr>
            </w:pPr>
            <w:r>
              <w:rPr>
                <w:b/>
                <w:bCs/>
                <w:sz w:val="20"/>
                <w:szCs w:val="20"/>
              </w:rPr>
              <w:t>Gemiddelde gedeclareerde druksterkte [ N/mm</w:t>
            </w:r>
            <w:r>
              <w:rPr>
                <w:b/>
                <w:bCs/>
                <w:sz w:val="13"/>
                <w:szCs w:val="13"/>
              </w:rPr>
              <w:t xml:space="preserve">2 </w:t>
            </w:r>
            <w:r>
              <w:rPr>
                <w:b/>
                <w:bCs/>
                <w:sz w:val="20"/>
                <w:szCs w:val="20"/>
              </w:rPr>
              <w:t>]</w:t>
            </w:r>
          </w:p>
        </w:tc>
        <w:tc>
          <w:tcPr>
            <w:tcW w:w="2498" w:type="dxa"/>
          </w:tcPr>
          <w:p w:rsidR="0056440F" w:rsidRDefault="0056440F" w:rsidP="00D97E2C">
            <w:pPr>
              <w:pStyle w:val="Default"/>
              <w:rPr>
                <w:sz w:val="22"/>
                <w:szCs w:val="22"/>
              </w:rPr>
            </w:pPr>
            <w:r>
              <w:rPr>
                <w:b/>
                <w:bCs/>
                <w:sz w:val="22"/>
                <w:szCs w:val="22"/>
              </w:rPr>
              <w:t xml:space="preserve">Thermische geleidbaarheid </w:t>
            </w:r>
            <w:proofErr w:type="spellStart"/>
            <w:r>
              <w:rPr>
                <w:b/>
                <w:bCs/>
                <w:sz w:val="20"/>
                <w:szCs w:val="20"/>
              </w:rPr>
              <w:t>λui</w:t>
            </w:r>
            <w:proofErr w:type="spellEnd"/>
            <w:r>
              <w:rPr>
                <w:b/>
                <w:bCs/>
                <w:sz w:val="20"/>
                <w:szCs w:val="20"/>
              </w:rPr>
              <w:t xml:space="preserve"> </w:t>
            </w:r>
            <w:r>
              <w:rPr>
                <w:sz w:val="20"/>
                <w:szCs w:val="20"/>
              </w:rPr>
              <w:t xml:space="preserve">[ </w:t>
            </w:r>
            <w:r>
              <w:rPr>
                <w:b/>
                <w:bCs/>
                <w:sz w:val="20"/>
                <w:szCs w:val="20"/>
              </w:rPr>
              <w:t>W/</w:t>
            </w:r>
            <w:proofErr w:type="spellStart"/>
            <w:r>
              <w:rPr>
                <w:b/>
                <w:bCs/>
                <w:sz w:val="20"/>
                <w:szCs w:val="20"/>
              </w:rPr>
              <w:t>mK</w:t>
            </w:r>
            <w:proofErr w:type="spellEnd"/>
            <w:r>
              <w:rPr>
                <w:b/>
                <w:bCs/>
                <w:sz w:val="20"/>
                <w:szCs w:val="20"/>
              </w:rPr>
              <w:t xml:space="preserve"> ] </w:t>
            </w:r>
            <w:r>
              <w:rPr>
                <w:b/>
                <w:bCs/>
                <w:sz w:val="22"/>
                <w:szCs w:val="22"/>
              </w:rPr>
              <w:t xml:space="preserve"> </w:t>
            </w:r>
          </w:p>
        </w:tc>
      </w:tr>
      <w:tr w:rsidR="0056440F" w:rsidTr="0056440F">
        <w:tc>
          <w:tcPr>
            <w:tcW w:w="1874" w:type="dxa"/>
          </w:tcPr>
          <w:p w:rsidR="0056440F" w:rsidRDefault="0056440F" w:rsidP="00D97E2C">
            <w:pPr>
              <w:pStyle w:val="Default"/>
              <w:spacing w:after="63"/>
              <w:rPr>
                <w:sz w:val="20"/>
                <w:szCs w:val="20"/>
              </w:rPr>
            </w:pPr>
            <w:r>
              <w:rPr>
                <w:sz w:val="20"/>
                <w:szCs w:val="20"/>
              </w:rPr>
              <w:t>10 + 14 + 19 cm</w:t>
            </w:r>
          </w:p>
        </w:tc>
        <w:tc>
          <w:tcPr>
            <w:tcW w:w="2267" w:type="dxa"/>
          </w:tcPr>
          <w:p w:rsidR="0056440F" w:rsidRDefault="0056440F" w:rsidP="00D97E2C">
            <w:pPr>
              <w:pStyle w:val="Default"/>
              <w:spacing w:after="63"/>
              <w:rPr>
                <w:sz w:val="20"/>
                <w:szCs w:val="20"/>
              </w:rPr>
            </w:pPr>
            <w:r>
              <w:rPr>
                <w:sz w:val="20"/>
                <w:szCs w:val="20"/>
              </w:rPr>
              <w:t>850 kg/m³</w:t>
            </w:r>
          </w:p>
        </w:tc>
        <w:tc>
          <w:tcPr>
            <w:tcW w:w="2423" w:type="dxa"/>
          </w:tcPr>
          <w:p w:rsidR="0056440F" w:rsidRDefault="0056440F" w:rsidP="00D97E2C">
            <w:pPr>
              <w:pStyle w:val="Default"/>
              <w:spacing w:after="63"/>
              <w:rPr>
                <w:sz w:val="20"/>
                <w:szCs w:val="20"/>
              </w:rPr>
            </w:pPr>
            <w:r>
              <w:rPr>
                <w:sz w:val="20"/>
                <w:szCs w:val="20"/>
              </w:rPr>
              <w:t>15 N/mm²</w:t>
            </w:r>
          </w:p>
        </w:tc>
        <w:tc>
          <w:tcPr>
            <w:tcW w:w="2498" w:type="dxa"/>
          </w:tcPr>
          <w:p w:rsidR="0056440F" w:rsidRDefault="0056440F" w:rsidP="00D97E2C">
            <w:pPr>
              <w:pStyle w:val="Default"/>
              <w:spacing w:after="63"/>
              <w:rPr>
                <w:sz w:val="20"/>
                <w:szCs w:val="20"/>
              </w:rPr>
            </w:pPr>
            <w:r>
              <w:rPr>
                <w:sz w:val="20"/>
                <w:szCs w:val="20"/>
              </w:rPr>
              <w:t>0.26</w:t>
            </w:r>
            <w:r>
              <w:rPr>
                <w:b/>
                <w:bCs/>
                <w:sz w:val="20"/>
                <w:szCs w:val="20"/>
              </w:rPr>
              <w:t xml:space="preserve"> W/</w:t>
            </w:r>
            <w:proofErr w:type="spellStart"/>
            <w:r>
              <w:rPr>
                <w:b/>
                <w:bCs/>
                <w:sz w:val="20"/>
                <w:szCs w:val="20"/>
              </w:rPr>
              <w:t>mK</w:t>
            </w:r>
            <w:proofErr w:type="spellEnd"/>
          </w:p>
        </w:tc>
      </w:tr>
      <w:tr w:rsidR="0056440F" w:rsidTr="0056440F">
        <w:tc>
          <w:tcPr>
            <w:tcW w:w="1874" w:type="dxa"/>
          </w:tcPr>
          <w:p w:rsidR="0056440F" w:rsidRDefault="000B799A" w:rsidP="00D97E2C">
            <w:pPr>
              <w:pStyle w:val="Default"/>
              <w:spacing w:after="63"/>
              <w:rPr>
                <w:sz w:val="20"/>
                <w:szCs w:val="20"/>
              </w:rPr>
            </w:pPr>
            <w:r>
              <w:rPr>
                <w:sz w:val="20"/>
                <w:szCs w:val="20"/>
              </w:rPr>
              <w:t>12 + 14 +19+</w:t>
            </w:r>
            <w:r w:rsidR="0056440F">
              <w:rPr>
                <w:sz w:val="20"/>
                <w:szCs w:val="20"/>
              </w:rPr>
              <w:t>20 cm</w:t>
            </w:r>
          </w:p>
        </w:tc>
        <w:tc>
          <w:tcPr>
            <w:tcW w:w="2267" w:type="dxa"/>
          </w:tcPr>
          <w:p w:rsidR="0056440F" w:rsidRDefault="000B799A" w:rsidP="000B799A">
            <w:pPr>
              <w:pStyle w:val="Default"/>
              <w:spacing w:after="63"/>
              <w:rPr>
                <w:sz w:val="20"/>
                <w:szCs w:val="20"/>
              </w:rPr>
            </w:pPr>
            <w:r>
              <w:rPr>
                <w:sz w:val="20"/>
                <w:szCs w:val="20"/>
              </w:rPr>
              <w:t xml:space="preserve">925kg/m³ </w:t>
            </w:r>
            <w:bookmarkStart w:id="0" w:name="_GoBack"/>
            <w:bookmarkEnd w:id="0"/>
            <w:r w:rsidR="0056440F">
              <w:rPr>
                <w:sz w:val="20"/>
                <w:szCs w:val="20"/>
              </w:rPr>
              <w:t>1</w:t>
            </w:r>
            <w:r>
              <w:rPr>
                <w:sz w:val="20"/>
                <w:szCs w:val="20"/>
              </w:rPr>
              <w:t>15</w:t>
            </w:r>
            <w:r w:rsidR="0056440F">
              <w:rPr>
                <w:sz w:val="20"/>
                <w:szCs w:val="20"/>
              </w:rPr>
              <w:t>0 kg/m³</w:t>
            </w:r>
            <w:r>
              <w:rPr>
                <w:sz w:val="20"/>
                <w:szCs w:val="20"/>
              </w:rPr>
              <w:t xml:space="preserve"> 1200kg/m³</w:t>
            </w:r>
          </w:p>
        </w:tc>
        <w:tc>
          <w:tcPr>
            <w:tcW w:w="2423" w:type="dxa"/>
          </w:tcPr>
          <w:p w:rsidR="0056440F" w:rsidRDefault="0056440F" w:rsidP="00D97E2C">
            <w:pPr>
              <w:pStyle w:val="Default"/>
              <w:spacing w:after="63"/>
              <w:rPr>
                <w:sz w:val="20"/>
                <w:szCs w:val="20"/>
              </w:rPr>
            </w:pPr>
            <w:r>
              <w:rPr>
                <w:sz w:val="20"/>
                <w:szCs w:val="20"/>
              </w:rPr>
              <w:t>25 N/mm²</w:t>
            </w:r>
          </w:p>
        </w:tc>
        <w:tc>
          <w:tcPr>
            <w:tcW w:w="2498" w:type="dxa"/>
          </w:tcPr>
          <w:p w:rsidR="0056440F" w:rsidRDefault="0056440F" w:rsidP="00D97E2C">
            <w:pPr>
              <w:pStyle w:val="Default"/>
              <w:spacing w:after="63"/>
              <w:rPr>
                <w:sz w:val="20"/>
                <w:szCs w:val="20"/>
              </w:rPr>
            </w:pPr>
            <w:r>
              <w:rPr>
                <w:sz w:val="20"/>
                <w:szCs w:val="20"/>
              </w:rPr>
              <w:t xml:space="preserve">0.37 </w:t>
            </w:r>
            <w:r>
              <w:rPr>
                <w:b/>
                <w:bCs/>
                <w:sz w:val="20"/>
                <w:szCs w:val="20"/>
              </w:rPr>
              <w:t>W/</w:t>
            </w:r>
            <w:proofErr w:type="spellStart"/>
            <w:r>
              <w:rPr>
                <w:b/>
                <w:bCs/>
                <w:sz w:val="20"/>
                <w:szCs w:val="20"/>
              </w:rPr>
              <w:t>mK</w:t>
            </w:r>
            <w:proofErr w:type="spellEnd"/>
          </w:p>
        </w:tc>
      </w:tr>
      <w:tr w:rsidR="000B799A" w:rsidTr="0056440F">
        <w:tc>
          <w:tcPr>
            <w:tcW w:w="1874" w:type="dxa"/>
          </w:tcPr>
          <w:p w:rsidR="000B799A" w:rsidRDefault="000B799A" w:rsidP="00D97E2C">
            <w:pPr>
              <w:pStyle w:val="Default"/>
              <w:spacing w:after="63"/>
              <w:rPr>
                <w:sz w:val="20"/>
                <w:szCs w:val="20"/>
              </w:rPr>
            </w:pPr>
          </w:p>
        </w:tc>
        <w:tc>
          <w:tcPr>
            <w:tcW w:w="2267" w:type="dxa"/>
          </w:tcPr>
          <w:p w:rsidR="000B799A" w:rsidRDefault="000B799A" w:rsidP="000B799A">
            <w:pPr>
              <w:pStyle w:val="Default"/>
              <w:spacing w:after="63"/>
              <w:rPr>
                <w:sz w:val="20"/>
                <w:szCs w:val="20"/>
              </w:rPr>
            </w:pPr>
          </w:p>
        </w:tc>
        <w:tc>
          <w:tcPr>
            <w:tcW w:w="2423" w:type="dxa"/>
          </w:tcPr>
          <w:p w:rsidR="000B799A" w:rsidRDefault="000B799A" w:rsidP="00D97E2C">
            <w:pPr>
              <w:pStyle w:val="Default"/>
              <w:spacing w:after="63"/>
              <w:rPr>
                <w:sz w:val="20"/>
                <w:szCs w:val="20"/>
              </w:rPr>
            </w:pPr>
          </w:p>
        </w:tc>
        <w:tc>
          <w:tcPr>
            <w:tcW w:w="2498" w:type="dxa"/>
          </w:tcPr>
          <w:p w:rsidR="000B799A" w:rsidRDefault="000B799A" w:rsidP="00D97E2C">
            <w:pPr>
              <w:pStyle w:val="Default"/>
              <w:spacing w:after="63"/>
              <w:rPr>
                <w:sz w:val="20"/>
                <w:szCs w:val="20"/>
              </w:rPr>
            </w:pPr>
          </w:p>
        </w:tc>
      </w:tr>
    </w:tbl>
    <w:p w:rsidR="00D97E2C" w:rsidRDefault="00D97E2C" w:rsidP="00CB4D94">
      <w:pPr>
        <w:pStyle w:val="Default"/>
        <w:spacing w:after="63"/>
        <w:rPr>
          <w:sz w:val="20"/>
          <w:szCs w:val="20"/>
        </w:rPr>
      </w:pPr>
    </w:p>
    <w:sectPr w:rsidR="00D97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B8E"/>
    <w:multiLevelType w:val="hybridMultilevel"/>
    <w:tmpl w:val="89F27DE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4B1B0169"/>
    <w:multiLevelType w:val="hybridMultilevel"/>
    <w:tmpl w:val="B3B6E112"/>
    <w:lvl w:ilvl="0" w:tplc="146E33C0">
      <w:start w:val="1"/>
      <w:numFmt w:val="bullet"/>
      <w:pStyle w:val="Lijstalinea"/>
      <w:lvlText w:val="•"/>
      <w:lvlJc w:val="left"/>
      <w:pPr>
        <w:ind w:left="1440" w:hanging="360"/>
      </w:pPr>
      <w:rPr>
        <w:rFonts w:ascii="Arial" w:hAnsi="Aria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94"/>
    <w:rsid w:val="000B799A"/>
    <w:rsid w:val="000F0CB6"/>
    <w:rsid w:val="003871F2"/>
    <w:rsid w:val="0056440F"/>
    <w:rsid w:val="005F3C9E"/>
    <w:rsid w:val="00CB4D94"/>
    <w:rsid w:val="00D97E2C"/>
    <w:rsid w:val="00DF5286"/>
    <w:rsid w:val="00F03C02"/>
    <w:rsid w:val="00F669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B9639-C5FC-4E8A-A1A5-4C78870F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B4D94"/>
    <w:pPr>
      <w:autoSpaceDE w:val="0"/>
      <w:autoSpaceDN w:val="0"/>
      <w:adjustRightInd w:val="0"/>
      <w:spacing w:after="0" w:line="240" w:lineRule="auto"/>
    </w:pPr>
    <w:rPr>
      <w:rFonts w:ascii="Trebuchet MS" w:hAnsi="Trebuchet MS" w:cs="Trebuchet MS"/>
      <w:color w:val="000000"/>
      <w:sz w:val="24"/>
      <w:szCs w:val="24"/>
    </w:rPr>
  </w:style>
  <w:style w:type="table" w:styleId="Tabelraster">
    <w:name w:val="Table Grid"/>
    <w:basedOn w:val="Standaardtabel"/>
    <w:uiPriority w:val="39"/>
    <w:rsid w:val="00D97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0F0CB6"/>
    <w:pPr>
      <w:numPr>
        <w:numId w:val="1"/>
      </w:numPr>
      <w:spacing w:before="40" w:after="120" w:line="276" w:lineRule="auto"/>
      <w:ind w:left="1264" w:hanging="357"/>
      <w:contextualSpacing/>
    </w:pPr>
    <w:rPr>
      <w:rFonts w:ascii="Arial Narrow" w:eastAsiaTheme="minorEastAsia" w:hAnsi="Arial Narrow" w:cs="Times New Roman"/>
      <w:lang w:val="en-US"/>
    </w:rPr>
  </w:style>
  <w:style w:type="character" w:customStyle="1" w:styleId="LijstalineaChar">
    <w:name w:val="Lijstalinea Char"/>
    <w:basedOn w:val="Standaardalinea-lettertype"/>
    <w:link w:val="Lijstalinea"/>
    <w:uiPriority w:val="34"/>
    <w:locked/>
    <w:rsid w:val="000F0CB6"/>
    <w:rPr>
      <w:rFonts w:ascii="Arial Narrow" w:eastAsiaTheme="minorEastAsia" w:hAnsi="Arial Narrow"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Birghen Degroote</dc:creator>
  <cp:keywords/>
  <dc:description/>
  <cp:lastModifiedBy>Birghen Degroote</cp:lastModifiedBy>
  <cp:revision>3</cp:revision>
  <dcterms:created xsi:type="dcterms:W3CDTF">2023-10-24T10:23:00Z</dcterms:created>
  <dcterms:modified xsi:type="dcterms:W3CDTF">2023-10-24T10:25:00Z</dcterms:modified>
</cp:coreProperties>
</file>